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E1" w:rsidRDefault="00091EE1" w:rsidP="00091EE1">
      <w:r w:rsidRPr="00E02420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-213360</wp:posOffset>
            </wp:positionV>
            <wp:extent cx="6162675" cy="1476375"/>
            <wp:effectExtent l="19050" t="0" r="0" b="0"/>
            <wp:wrapTopAndBottom/>
            <wp:docPr id="5" name="Imagem 0" descr="LOGO NOVA GDF 2904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NOVA GDF 29042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EE1" w:rsidRPr="00E02420" w:rsidRDefault="00091EE1" w:rsidP="00091EE1">
      <w:pPr>
        <w:shd w:val="clear" w:color="auto" w:fill="ACBECE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</w:pPr>
      <w:r w:rsidRPr="00E02420"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>R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 xml:space="preserve"> </w:t>
      </w:r>
      <w:r w:rsidRPr="00E02420"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>E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 xml:space="preserve"> </w:t>
      </w:r>
      <w:r w:rsidRPr="00E02420"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>L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 xml:space="preserve"> </w:t>
      </w:r>
      <w:r w:rsidRPr="00E02420"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>A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 xml:space="preserve"> </w:t>
      </w:r>
      <w:r w:rsidRPr="00E02420"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>T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 xml:space="preserve"> </w:t>
      </w:r>
      <w:r w:rsidRPr="00E02420"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>Ó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 xml:space="preserve"> </w:t>
      </w:r>
      <w:r w:rsidRPr="00E02420"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>R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 xml:space="preserve"> </w:t>
      </w:r>
      <w:r w:rsidRPr="00E02420"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>I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 xml:space="preserve"> </w:t>
      </w:r>
      <w:r w:rsidRPr="00E02420"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 xml:space="preserve">O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>- 2012</w:t>
      </w:r>
    </w:p>
    <w:p w:rsidR="00091EE1" w:rsidRPr="00E02420" w:rsidRDefault="00091EE1" w:rsidP="00091EE1">
      <w:pPr>
        <w:shd w:val="clear" w:color="auto" w:fill="ACBECE"/>
        <w:spacing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3"/>
      </w:tblGrid>
      <w:tr w:rsidR="00091EE1" w:rsidRPr="00E02420" w:rsidTr="007C35F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10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3"/>
            </w:tblGrid>
            <w:tr w:rsidR="00091EE1" w:rsidRPr="00E02420" w:rsidTr="007C35F1">
              <w:trPr>
                <w:tblCellSpacing w:w="15" w:type="dxa"/>
              </w:trPr>
              <w:tc>
                <w:tcPr>
                  <w:tcW w:w="4941" w:type="pct"/>
                  <w:vAlign w:val="center"/>
                  <w:hideMark/>
                </w:tcPr>
                <w:p w:rsidR="00091EE1" w:rsidRPr="00E02420" w:rsidRDefault="00091EE1" w:rsidP="007C35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024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Comitê de Ética</w:t>
                  </w:r>
                </w:p>
              </w:tc>
            </w:tr>
            <w:tr w:rsidR="00091EE1" w:rsidRPr="00E02420" w:rsidTr="007C35F1">
              <w:trPr>
                <w:tblCellSpacing w:w="15" w:type="dxa"/>
              </w:trPr>
              <w:tc>
                <w:tcPr>
                  <w:tcW w:w="4941" w:type="pct"/>
                  <w:vAlign w:val="center"/>
                  <w:hideMark/>
                </w:tcPr>
                <w:p w:rsidR="00091EE1" w:rsidRPr="00E02420" w:rsidRDefault="00224393" w:rsidP="007C35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0242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60.75pt;height:18pt" o:ole="">
                        <v:imagedata r:id="rId6" o:title=""/>
                      </v:shape>
                      <w:control r:id="rId7" w:name="DefaultOcxName" w:shapeid="_x0000_i1035"/>
                    </w:object>
                  </w:r>
                </w:p>
              </w:tc>
            </w:tr>
          </w:tbl>
          <w:p w:rsidR="00091EE1" w:rsidRPr="00E02420" w:rsidRDefault="00091EE1" w:rsidP="007C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091EE1" w:rsidRPr="00E02420" w:rsidRDefault="00091EE1" w:rsidP="00091EE1">
      <w:pPr>
        <w:spacing w:line="240" w:lineRule="auto"/>
        <w:rPr>
          <w:rFonts w:ascii="Arial" w:eastAsia="Times New Roman" w:hAnsi="Arial" w:cs="Arial"/>
          <w:vanish/>
          <w:color w:val="474747"/>
          <w:sz w:val="17"/>
          <w:szCs w:val="17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3450"/>
        <w:gridCol w:w="66"/>
        <w:gridCol w:w="171"/>
      </w:tblGrid>
      <w:tr w:rsidR="00091EE1" w:rsidRPr="00E02420" w:rsidTr="007C35F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0"/>
            </w:tblGrid>
            <w:tr w:rsidR="00091EE1" w:rsidRPr="00E02420" w:rsidTr="007C35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EE1" w:rsidRPr="00E02420" w:rsidRDefault="00091EE1" w:rsidP="007C35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024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Ano</w:t>
                  </w:r>
                </w:p>
              </w:tc>
            </w:tr>
            <w:tr w:rsidR="00091EE1" w:rsidRPr="00E02420" w:rsidTr="007C35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EE1" w:rsidRPr="00E02420" w:rsidRDefault="00224393" w:rsidP="007C35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0242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38" type="#_x0000_t75" style="width:52.5pt;height:18pt" o:ole="">
                        <v:imagedata r:id="rId8" o:title=""/>
                      </v:shape>
                      <w:control r:id="rId9" w:name="DefaultOcxName1" w:shapeid="_x0000_i1038"/>
                    </w:object>
                  </w:r>
                </w:p>
              </w:tc>
            </w:tr>
          </w:tbl>
          <w:p w:rsidR="00091EE1" w:rsidRPr="00E02420" w:rsidRDefault="00091EE1" w:rsidP="007C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90"/>
            </w:tblGrid>
            <w:tr w:rsidR="00091EE1" w:rsidRPr="00E02420" w:rsidTr="007C35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EE1" w:rsidRPr="00E02420" w:rsidRDefault="00091EE1" w:rsidP="007C35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024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Período</w:t>
                  </w:r>
                </w:p>
              </w:tc>
            </w:tr>
            <w:tr w:rsidR="00091EE1" w:rsidRPr="00E02420" w:rsidTr="007C35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EE1" w:rsidRPr="00E02420" w:rsidRDefault="00224393" w:rsidP="007C35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0242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object w:dxaOrig="225" w:dyaOrig="225">
                      <v:shape id="_x0000_i1041" type="#_x0000_t75" style="width:165pt;height:18pt" o:ole="">
                        <v:imagedata r:id="rId10" o:title=""/>
                      </v:shape>
                      <w:control r:id="rId11" w:name="DefaultOcxName2" w:shapeid="_x0000_i1041"/>
                    </w:object>
                  </w:r>
                </w:p>
              </w:tc>
            </w:tr>
          </w:tbl>
          <w:p w:rsidR="00091EE1" w:rsidRPr="00E02420" w:rsidRDefault="00091EE1" w:rsidP="007C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91EE1" w:rsidRPr="00E02420" w:rsidRDefault="00091EE1" w:rsidP="007C35F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</w:p>
        </w:tc>
      </w:tr>
    </w:tbl>
    <w:p w:rsidR="00091EE1" w:rsidRPr="00E02420" w:rsidRDefault="00091EE1" w:rsidP="00091EE1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</w:pPr>
      <w:r>
        <w:rPr>
          <w:rFonts w:ascii="Calibri" w:eastAsia="Times New Roman" w:hAnsi="Calibri" w:cs="Times New Roman"/>
          <w:noProof/>
          <w:color w:val="000000"/>
          <w:sz w:val="18"/>
          <w:szCs w:val="18"/>
          <w:lang w:eastAsia="pt-BR"/>
        </w:rPr>
        <w:drawing>
          <wp:inline distT="0" distB="0" distL="0" distR="0">
            <wp:extent cx="9525" cy="66675"/>
            <wp:effectExtent l="0" t="0" r="0" b="0"/>
            <wp:docPr id="3" name="relatorioSemestralForm:j_id305" descr="http://aplicacao.saude.gov.br/plataformabrasil/a4j/g/3_3_3.Finalimages/spacer.gif.j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orioSemestralForm:j_id305" descr="http://aplicacao.saude.gov.br/plataformabrasil/a4j/g/3_3_3.Finalimages/spacer.gif.js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E1" w:rsidRPr="00E02420" w:rsidRDefault="00091EE1" w:rsidP="00091EE1">
      <w:pPr>
        <w:shd w:val="clear" w:color="auto" w:fill="ACBECE"/>
        <w:spacing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</w:pPr>
      <w:r w:rsidRPr="00E02420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RESULTADO DA BUSCA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4"/>
      </w:tblGrid>
      <w:tr w:rsidR="00091EE1" w:rsidRPr="00E02420" w:rsidTr="007C3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02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Reuniões</w:t>
            </w:r>
          </w:p>
        </w:tc>
      </w:tr>
      <w:tr w:rsidR="00091EE1" w:rsidRPr="00E02420" w:rsidTr="007C3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EE1" w:rsidRPr="00E02420" w:rsidRDefault="00224393" w:rsidP="007C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024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object w:dxaOrig="225" w:dyaOrig="225">
                <v:shape id="_x0000_i1045" type="#_x0000_t75" style="width:60.75pt;height:18pt" o:ole="">
                  <v:imagedata r:id="rId13" o:title=""/>
                </v:shape>
                <w:control r:id="rId14" w:name="DefaultOcxName3" w:shapeid="_x0000_i1045"/>
              </w:object>
            </w:r>
          </w:p>
        </w:tc>
      </w:tr>
    </w:tbl>
    <w:p w:rsidR="00091EE1" w:rsidRPr="00E02420" w:rsidRDefault="00091EE1" w:rsidP="00091EE1">
      <w:pPr>
        <w:spacing w:line="240" w:lineRule="auto"/>
        <w:rPr>
          <w:rFonts w:ascii="Arial" w:eastAsia="Times New Roman" w:hAnsi="Arial" w:cs="Arial"/>
          <w:color w:val="474747"/>
          <w:sz w:val="17"/>
          <w:szCs w:val="17"/>
          <w:lang w:eastAsia="pt-BR"/>
        </w:rPr>
      </w:pPr>
      <w:r>
        <w:rPr>
          <w:rFonts w:ascii="Arial" w:eastAsia="Times New Roman" w:hAnsi="Arial" w:cs="Arial"/>
          <w:noProof/>
          <w:color w:val="474747"/>
          <w:sz w:val="17"/>
          <w:szCs w:val="17"/>
          <w:lang w:eastAsia="pt-BR"/>
        </w:rPr>
        <w:drawing>
          <wp:inline distT="0" distB="0" distL="0" distR="0">
            <wp:extent cx="9525" cy="114300"/>
            <wp:effectExtent l="0" t="0" r="0" b="0"/>
            <wp:docPr id="4" name="relatorioSemestralForm:j_id312" descr="http://aplicacao.saude.gov.br/plataformabrasil/a4j/g/3_3_3.Finalimages/spacer.gif.j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orioSemestralForm:j_id312" descr="http://aplicacao.saude.gov.br/plataformabrasil/a4j/g/3_3_3.Finalimages/spacer.gif.js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74747"/>
          <w:sz w:val="17"/>
          <w:szCs w:val="17"/>
          <w:lang w:eastAsia="pt-BR"/>
        </w:rPr>
        <w:t>20</w:t>
      </w:r>
      <w:proofErr w:type="gramStart"/>
      <w:r>
        <w:rPr>
          <w:rFonts w:ascii="Arial" w:eastAsia="Times New Roman" w:hAnsi="Arial" w:cs="Arial"/>
          <w:color w:val="474747"/>
          <w:sz w:val="17"/>
          <w:szCs w:val="17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474747"/>
          <w:sz w:val="17"/>
          <w:szCs w:val="17"/>
          <w:lang w:eastAsia="pt-BR"/>
        </w:rPr>
        <w:t>reuniões ordinárias e 4 reuniões extraordinárias</w:t>
      </w:r>
    </w:p>
    <w:tbl>
      <w:tblPr>
        <w:tblW w:w="5194" w:type="pct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8"/>
        <w:gridCol w:w="1567"/>
        <w:gridCol w:w="1548"/>
        <w:gridCol w:w="1548"/>
        <w:gridCol w:w="1498"/>
        <w:gridCol w:w="1380"/>
        <w:gridCol w:w="527"/>
        <w:gridCol w:w="310"/>
      </w:tblGrid>
      <w:tr w:rsidR="00091EE1" w:rsidRPr="00E02420" w:rsidTr="007C35F1">
        <w:trPr>
          <w:gridAfter w:val="1"/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ACBECE"/>
              <w:right w:val="single" w:sz="6" w:space="0" w:color="ACBECE"/>
            </w:tcBorders>
            <w:shd w:val="clear" w:color="auto" w:fill="E4E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PROJETOS DE PESQUISA EM SERES HUMANOS APRECIADOS</w:t>
            </w:r>
          </w:p>
        </w:tc>
      </w:tr>
      <w:tr w:rsidR="00091EE1" w:rsidRPr="00E02420" w:rsidTr="007C35F1">
        <w:trPr>
          <w:gridAfter w:val="1"/>
          <w:tblHeader/>
        </w:trPr>
        <w:tc>
          <w:tcPr>
            <w:tcW w:w="1215" w:type="dxa"/>
            <w:vMerge w:val="restart"/>
            <w:tcBorders>
              <w:top w:val="nil"/>
              <w:left w:val="nil"/>
              <w:bottom w:val="single" w:sz="6" w:space="0" w:color="ACBECE"/>
              <w:right w:val="single" w:sz="6" w:space="0" w:color="ACBECE"/>
            </w:tcBorders>
            <w:shd w:val="clear" w:color="auto" w:fill="E4E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Grupo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ACBECE"/>
              <w:right w:val="single" w:sz="6" w:space="0" w:color="ACBECE"/>
            </w:tcBorders>
            <w:shd w:val="clear" w:color="auto" w:fill="E4E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 - NÚMERO DE PROJETOS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CBECE"/>
              <w:right w:val="single" w:sz="6" w:space="0" w:color="ACBECE"/>
            </w:tcBorders>
            <w:shd w:val="clear" w:color="auto" w:fill="E4E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Total</w:t>
            </w:r>
          </w:p>
        </w:tc>
      </w:tr>
      <w:tr w:rsidR="00091EE1" w:rsidRPr="00E02420" w:rsidTr="007C35F1">
        <w:trPr>
          <w:gridAfter w:val="1"/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CBECE"/>
              <w:right w:val="single" w:sz="6" w:space="0" w:color="ACBECE"/>
            </w:tcBorders>
            <w:shd w:val="clear" w:color="auto" w:fill="E4EA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CBECE"/>
              <w:right w:val="single" w:sz="6" w:space="0" w:color="ACBECE"/>
            </w:tcBorders>
            <w:shd w:val="clear" w:color="auto" w:fill="E4E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Aprovados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CBECE"/>
              <w:right w:val="single" w:sz="6" w:space="0" w:color="ACBECE"/>
            </w:tcBorders>
            <w:shd w:val="clear" w:color="auto" w:fill="E4E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Não aprovados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CBECE"/>
              <w:right w:val="single" w:sz="6" w:space="0" w:color="ACBECE"/>
            </w:tcBorders>
            <w:shd w:val="clear" w:color="auto" w:fill="E4E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Pendentes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CBECE"/>
              <w:right w:val="single" w:sz="6" w:space="0" w:color="ACBECE"/>
            </w:tcBorders>
            <w:shd w:val="clear" w:color="auto" w:fill="E4E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Retirados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CBECE"/>
              <w:right w:val="single" w:sz="6" w:space="0" w:color="ACBECE"/>
            </w:tcBorders>
            <w:shd w:val="clear" w:color="auto" w:fill="E4E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À Critério do CEP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CBECE"/>
              <w:right w:val="single" w:sz="6" w:space="0" w:color="ACBECE"/>
            </w:tcBorders>
            <w:shd w:val="clear" w:color="auto" w:fill="E4EA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</w:tr>
      <w:tr w:rsidR="00091EE1" w:rsidRPr="00E02420" w:rsidTr="007C35F1">
        <w:trPr>
          <w:gridAfter w:val="1"/>
        </w:trPr>
        <w:tc>
          <w:tcPr>
            <w:tcW w:w="0" w:type="auto"/>
            <w:gridSpan w:val="6"/>
            <w:tcBorders>
              <w:bottom w:val="single" w:sz="6" w:space="0" w:color="C0C0C0"/>
              <w:right w:val="single" w:sz="6" w:space="0" w:color="C0C0C0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4747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b/>
                <w:bCs/>
                <w:color w:val="474747"/>
                <w:sz w:val="17"/>
                <w:szCs w:val="17"/>
                <w:lang w:eastAsia="pt-BR"/>
              </w:rPr>
              <w:t>(*</w:t>
            </w:r>
            <w:proofErr w:type="gramStart"/>
            <w:r w:rsidRPr="00E02420">
              <w:rPr>
                <w:rFonts w:ascii="Arial" w:eastAsia="Times New Roman" w:hAnsi="Arial" w:cs="Arial"/>
                <w:b/>
                <w:bCs/>
                <w:color w:val="474747"/>
                <w:sz w:val="17"/>
                <w:szCs w:val="17"/>
                <w:lang w:eastAsia="pt-BR"/>
              </w:rPr>
              <w:t>)Total</w:t>
            </w:r>
            <w:proofErr w:type="gramEnd"/>
            <w:r w:rsidRPr="00E02420">
              <w:rPr>
                <w:rFonts w:ascii="Arial" w:eastAsia="Times New Roman" w:hAnsi="Arial" w:cs="Arial"/>
                <w:b/>
                <w:bCs/>
                <w:color w:val="474747"/>
                <w:sz w:val="17"/>
                <w:szCs w:val="17"/>
                <w:lang w:eastAsia="pt-BR"/>
              </w:rPr>
              <w:t xml:space="preserve"> de Folhas de Rosto de projetos APROVADOS e NÃO APROVADOS dos Grupos II e III enviados à CONEP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96</w:t>
            </w:r>
          </w:p>
        </w:tc>
      </w:tr>
      <w:tr w:rsidR="00091EE1" w:rsidRPr="00E02420" w:rsidTr="007C35F1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I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proofErr w:type="gramStart"/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proofErr w:type="gramStart"/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proofErr w:type="gramStart"/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255</w:t>
            </w:r>
          </w:p>
        </w:tc>
      </w:tr>
      <w:tr w:rsidR="00091EE1" w:rsidRPr="00E02420" w:rsidTr="007C35F1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* II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proofErr w:type="gramStart"/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proofErr w:type="gramStart"/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proofErr w:type="gramStart"/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proofErr w:type="gramStart"/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proofErr w:type="gramStart"/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14</w:t>
            </w:r>
          </w:p>
        </w:tc>
      </w:tr>
      <w:tr w:rsidR="00091EE1" w:rsidRPr="00E02420" w:rsidTr="007C35F1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* III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90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proofErr w:type="gramStart"/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145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proofErr w:type="gramStart"/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proofErr w:type="gramStart"/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236</w:t>
            </w:r>
          </w:p>
        </w:tc>
      </w:tr>
      <w:tr w:rsidR="00091EE1" w:rsidRPr="00E02420" w:rsidTr="007C35F1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proofErr w:type="gramStart"/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271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proofErr w:type="gramStart"/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proofErr w:type="gramStart"/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505</w:t>
            </w:r>
          </w:p>
        </w:tc>
      </w:tr>
      <w:tr w:rsidR="00091EE1" w:rsidRPr="00E02420" w:rsidTr="007C35F1">
        <w:tc>
          <w:tcPr>
            <w:tcW w:w="0" w:type="auto"/>
            <w:gridSpan w:val="7"/>
            <w:tcBorders>
              <w:bottom w:val="single" w:sz="6" w:space="0" w:color="C0C0C0"/>
              <w:right w:val="single" w:sz="6" w:space="0" w:color="C0C0C0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4747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b/>
                <w:bCs/>
                <w:color w:val="474747"/>
                <w:sz w:val="17"/>
                <w:szCs w:val="17"/>
                <w:lang w:eastAsia="pt-BR"/>
              </w:rPr>
              <w:t>(*</w:t>
            </w:r>
            <w:proofErr w:type="gramStart"/>
            <w:r w:rsidRPr="00E02420">
              <w:rPr>
                <w:rFonts w:ascii="Arial" w:eastAsia="Times New Roman" w:hAnsi="Arial" w:cs="Arial"/>
                <w:b/>
                <w:bCs/>
                <w:color w:val="474747"/>
                <w:sz w:val="17"/>
                <w:szCs w:val="17"/>
                <w:lang w:eastAsia="pt-BR"/>
              </w:rPr>
              <w:t>)Total</w:t>
            </w:r>
            <w:proofErr w:type="gramEnd"/>
            <w:r w:rsidRPr="00E02420">
              <w:rPr>
                <w:rFonts w:ascii="Arial" w:eastAsia="Times New Roman" w:hAnsi="Arial" w:cs="Arial"/>
                <w:b/>
                <w:bCs/>
                <w:color w:val="474747"/>
                <w:sz w:val="17"/>
                <w:szCs w:val="17"/>
                <w:lang w:eastAsia="pt-BR"/>
              </w:rPr>
              <w:t xml:space="preserve"> de Folhas de Rosto de projetos APROVADOS e NÃO APROVADOS dos Grupos II e III enviados à CONEP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EE1" w:rsidRPr="00E02420" w:rsidRDefault="00091EE1" w:rsidP="007C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</w:pPr>
            <w:r w:rsidRPr="00E02420">
              <w:rPr>
                <w:rFonts w:ascii="Arial" w:eastAsia="Times New Roman" w:hAnsi="Arial" w:cs="Arial"/>
                <w:color w:val="474747"/>
                <w:sz w:val="17"/>
                <w:szCs w:val="17"/>
                <w:lang w:eastAsia="pt-BR"/>
              </w:rPr>
              <w:t>96</w:t>
            </w:r>
          </w:p>
        </w:tc>
      </w:tr>
    </w:tbl>
    <w:p w:rsidR="00091EE1" w:rsidRDefault="00091EE1" w:rsidP="00091EE1"/>
    <w:p w:rsidR="00091EE1" w:rsidRPr="00E02420" w:rsidRDefault="00091EE1" w:rsidP="00091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0"/>
          <w:szCs w:val="10"/>
        </w:rPr>
      </w:pPr>
    </w:p>
    <w:p w:rsidR="00091EE1" w:rsidRPr="001139B8" w:rsidRDefault="00091EE1" w:rsidP="00091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139B8">
        <w:rPr>
          <w:b/>
          <w:sz w:val="24"/>
          <w:szCs w:val="24"/>
        </w:rPr>
        <w:t xml:space="preserve">Projetos recebidos de janeiro a julho de 2012 pelo CEP antigo sistema – produtividade: 340 </w:t>
      </w:r>
    </w:p>
    <w:p w:rsidR="00091EE1" w:rsidRPr="00E02420" w:rsidRDefault="00091EE1" w:rsidP="00091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0"/>
          <w:szCs w:val="10"/>
        </w:rPr>
      </w:pPr>
    </w:p>
    <w:p w:rsidR="00091EE1" w:rsidRDefault="00091EE1" w:rsidP="00091EE1">
      <w:pPr>
        <w:pStyle w:val="PargrafodaLista"/>
        <w:numPr>
          <w:ilvl w:val="0"/>
          <w:numId w:val="1"/>
        </w:numPr>
      </w:pPr>
      <w:r>
        <w:t>Produtividade:</w:t>
      </w:r>
      <w:proofErr w:type="gramStart"/>
      <w:r>
        <w:t xml:space="preserve">  </w:t>
      </w:r>
      <w:proofErr w:type="gramEnd"/>
      <w:r>
        <w:t>845 (RELACIONADOS PELA CONEP + APROVADOS PELO SISNEP)</w:t>
      </w:r>
    </w:p>
    <w:p w:rsidR="00091EE1" w:rsidRDefault="00091EE1" w:rsidP="00091EE1">
      <w:pPr>
        <w:pStyle w:val="PargrafodaLista"/>
        <w:numPr>
          <w:ilvl w:val="0"/>
          <w:numId w:val="1"/>
        </w:numPr>
      </w:pPr>
      <w:r>
        <w:t>Aprovados:</w:t>
      </w:r>
      <w:proofErr w:type="gramStart"/>
      <w:r>
        <w:t xml:space="preserve">   </w:t>
      </w:r>
      <w:proofErr w:type="gramEnd"/>
      <w:r>
        <w:t>550</w:t>
      </w:r>
    </w:p>
    <w:p w:rsidR="00091EE1" w:rsidRDefault="00091EE1" w:rsidP="00091EE1">
      <w:pPr>
        <w:pStyle w:val="PargrafodaLista"/>
        <w:numPr>
          <w:ilvl w:val="0"/>
          <w:numId w:val="1"/>
        </w:numPr>
      </w:pPr>
      <w:r>
        <w:t>Pendências: 273</w:t>
      </w:r>
    </w:p>
    <w:p w:rsidR="00091EE1" w:rsidRDefault="00091EE1" w:rsidP="00091EE1">
      <w:pPr>
        <w:pStyle w:val="PargrafodaLista"/>
        <w:numPr>
          <w:ilvl w:val="0"/>
          <w:numId w:val="1"/>
        </w:numPr>
      </w:pPr>
      <w:r>
        <w:t>Não aprovados: 07</w:t>
      </w:r>
    </w:p>
    <w:p w:rsidR="00091EE1" w:rsidRDefault="00091EE1" w:rsidP="00091EE1">
      <w:pPr>
        <w:pStyle w:val="PargrafodaLista"/>
        <w:numPr>
          <w:ilvl w:val="0"/>
          <w:numId w:val="1"/>
        </w:numPr>
      </w:pPr>
      <w:r>
        <w:t>Retirados: 15</w:t>
      </w:r>
    </w:p>
    <w:p w:rsidR="00091EE1" w:rsidRDefault="00091EE1" w:rsidP="00091EE1">
      <w:pPr>
        <w:pStyle w:val="PargrafodaLista"/>
        <w:numPr>
          <w:ilvl w:val="0"/>
          <w:numId w:val="1"/>
        </w:numPr>
      </w:pPr>
      <w:r>
        <w:t>Tempo médio para aprovação em torno de 15 a 20 dias</w:t>
      </w:r>
    </w:p>
    <w:p w:rsidR="00091EE1" w:rsidRDefault="00091EE1" w:rsidP="00091EE1">
      <w:pPr>
        <w:pStyle w:val="PargrafodaLista"/>
      </w:pPr>
    </w:p>
    <w:p w:rsidR="00091EE1" w:rsidRPr="001139B8" w:rsidRDefault="00091EE1" w:rsidP="00091EE1">
      <w:pPr>
        <w:spacing w:line="480" w:lineRule="auto"/>
        <w:jc w:val="center"/>
        <w:rPr>
          <w:b/>
          <w:sz w:val="40"/>
          <w:szCs w:val="40"/>
        </w:rPr>
      </w:pPr>
      <w:r w:rsidRPr="001139B8">
        <w:rPr>
          <w:b/>
          <w:sz w:val="40"/>
          <w:szCs w:val="40"/>
        </w:rPr>
        <w:t>Projetos submetidos ao CEP/FEPECS PARA ANALISE</w:t>
      </w:r>
    </w:p>
    <w:p w:rsidR="00091EE1" w:rsidRPr="00010218" w:rsidRDefault="00091EE1" w:rsidP="00091EE1">
      <w:pPr>
        <w:spacing w:line="480" w:lineRule="auto"/>
        <w:jc w:val="center"/>
        <w:rPr>
          <w:sz w:val="40"/>
          <w:szCs w:val="40"/>
        </w:rPr>
      </w:pPr>
      <w:r w:rsidRPr="00010218">
        <w:rPr>
          <w:sz w:val="40"/>
          <w:szCs w:val="40"/>
        </w:rPr>
        <w:t>DESDE 18/06/1987 A 31/12/2012</w:t>
      </w:r>
    </w:p>
    <w:p w:rsidR="00091EE1" w:rsidRPr="00E02420" w:rsidRDefault="00091EE1" w:rsidP="00091EE1">
      <w:pPr>
        <w:spacing w:line="480" w:lineRule="auto"/>
        <w:rPr>
          <w:sz w:val="24"/>
          <w:szCs w:val="24"/>
        </w:rPr>
      </w:pPr>
    </w:p>
    <w:p w:rsidR="00091EE1" w:rsidRDefault="00091EE1" w:rsidP="00091EE1">
      <w:r>
        <w:rPr>
          <w:noProof/>
          <w:lang w:eastAsia="pt-BR"/>
        </w:rPr>
        <w:drawing>
          <wp:inline distT="0" distB="0" distL="0" distR="0">
            <wp:extent cx="5972175" cy="4629150"/>
            <wp:effectExtent l="19050" t="0" r="9525" b="0"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91EE1" w:rsidRPr="00091EE1" w:rsidRDefault="00091EE1" w:rsidP="00091EE1">
      <w:pPr>
        <w:spacing w:line="240" w:lineRule="auto"/>
        <w:jc w:val="center"/>
        <w:rPr>
          <w:b/>
          <w:sz w:val="32"/>
          <w:szCs w:val="32"/>
        </w:rPr>
      </w:pPr>
      <w:r w:rsidRPr="00091EE1">
        <w:rPr>
          <w:b/>
          <w:sz w:val="32"/>
          <w:szCs w:val="32"/>
        </w:rPr>
        <w:t>Luiz Fernando Galvão Salinas</w:t>
      </w:r>
    </w:p>
    <w:p w:rsidR="00091EE1" w:rsidRPr="00E02420" w:rsidRDefault="00091EE1" w:rsidP="00091EE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Coordenador/FEPECS-SES-DF</w:t>
      </w:r>
    </w:p>
    <w:p w:rsidR="00091EE1" w:rsidRDefault="00091EE1" w:rsidP="00091EE1">
      <w:pPr>
        <w:jc w:val="right"/>
      </w:pPr>
    </w:p>
    <w:p w:rsidR="00091EE1" w:rsidRDefault="00091EE1" w:rsidP="00091EE1">
      <w:pPr>
        <w:jc w:val="right"/>
      </w:pPr>
    </w:p>
    <w:p w:rsidR="00091EE1" w:rsidRDefault="00091EE1" w:rsidP="00091EE1">
      <w:pPr>
        <w:jc w:val="right"/>
        <w:rPr>
          <w:sz w:val="16"/>
          <w:szCs w:val="16"/>
        </w:rPr>
      </w:pPr>
    </w:p>
    <w:p w:rsidR="00091EE1" w:rsidRPr="00091EE1" w:rsidRDefault="00091EE1" w:rsidP="00091EE1">
      <w:pPr>
        <w:jc w:val="right"/>
        <w:rPr>
          <w:sz w:val="16"/>
          <w:szCs w:val="16"/>
        </w:rPr>
      </w:pPr>
      <w:r w:rsidRPr="00091EE1">
        <w:rPr>
          <w:sz w:val="16"/>
          <w:szCs w:val="16"/>
        </w:rPr>
        <w:t>Ângela Maria/</w:t>
      </w:r>
      <w:proofErr w:type="spellStart"/>
      <w:r w:rsidRPr="00091EE1">
        <w:rPr>
          <w:sz w:val="16"/>
          <w:szCs w:val="16"/>
        </w:rPr>
        <w:t>FEPECS-ses-DF</w:t>
      </w:r>
      <w:proofErr w:type="spellEnd"/>
    </w:p>
    <w:sectPr w:rsidR="00091EE1" w:rsidRPr="00091EE1" w:rsidSect="008D2152">
      <w:pgSz w:w="11906" w:h="16838"/>
      <w:pgMar w:top="1417" w:right="99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5C5"/>
    <w:multiLevelType w:val="hybridMultilevel"/>
    <w:tmpl w:val="E22AE8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6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CF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82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4C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C64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41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27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C7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52E46BB"/>
    <w:multiLevelType w:val="hybridMultilevel"/>
    <w:tmpl w:val="5308E7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EE1"/>
    <w:rsid w:val="00016876"/>
    <w:rsid w:val="00091EE1"/>
    <w:rsid w:val="0013383B"/>
    <w:rsid w:val="00224393"/>
    <w:rsid w:val="002A41B1"/>
    <w:rsid w:val="006863B9"/>
    <w:rsid w:val="00C2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E1"/>
  </w:style>
  <w:style w:type="paragraph" w:styleId="Ttulo1">
    <w:name w:val="heading 1"/>
    <w:basedOn w:val="Normal"/>
    <w:next w:val="Normal"/>
    <w:link w:val="Ttulo1Char"/>
    <w:uiPriority w:val="9"/>
    <w:qFormat/>
    <w:rsid w:val="00091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91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1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91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091EE1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091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91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hart" Target="charts/chart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rAngAx val="1"/>
    </c:view3D>
    <c:floor>
      <c:spPr>
        <a:solidFill>
          <a:schemeClr val="tx2">
            <a:lumMod val="40000"/>
            <a:lumOff val="60000"/>
          </a:schemeClr>
        </a:solidFill>
      </c:spPr>
    </c:floor>
    <c:sideWall>
      <c:spPr>
        <a:solidFill>
          <a:schemeClr val="accent1">
            <a:lumMod val="40000"/>
            <a:lumOff val="60000"/>
          </a:schemeClr>
        </a:solidFill>
      </c:spPr>
    </c:sideWall>
    <c:backWall>
      <c:spPr>
        <a:solidFill>
          <a:schemeClr val="accent1">
            <a:lumMod val="40000"/>
            <a:lumOff val="60000"/>
          </a:schemeClr>
        </a:solidFill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dLbls>
            <c:dLbl>
              <c:idx val="0"/>
              <c:layout>
                <c:manualLayout>
                  <c:x val="7.0555032925682165E-3"/>
                  <c:y val="-3.6283007458174067E-2"/>
                </c:manualLayout>
              </c:layout>
              <c:showVal val="1"/>
            </c:dLbl>
            <c:dLbl>
              <c:idx val="1"/>
              <c:layout>
                <c:manualLayout>
                  <c:x val="7.055503292568246E-3"/>
                  <c:y val="-3.2251562185043534E-2"/>
                </c:manualLayout>
              </c:layout>
              <c:spPr/>
              <c:txPr>
                <a:bodyPr anchor="t" anchorCtr="0"/>
                <a:lstStyle/>
                <a:p>
                  <a:pPr>
                    <a:defRPr sz="1000"/>
                  </a:pPr>
                  <a:endParaRPr lang="pt-BR"/>
                </a:p>
              </c:txPr>
              <c:showVal val="1"/>
            </c:dLbl>
            <c:dLbl>
              <c:idx val="2"/>
              <c:layout>
                <c:manualLayout>
                  <c:x val="7.0555032925682165E-3"/>
                  <c:y val="-4.0314452731304184E-2"/>
                </c:manualLayout>
              </c:layout>
              <c:showVal val="1"/>
            </c:dLbl>
            <c:dLbl>
              <c:idx val="3"/>
              <c:layout>
                <c:manualLayout>
                  <c:x val="9.4073377234243447E-3"/>
                  <c:y val="-4.8377343277564794E-2"/>
                </c:manualLayout>
              </c:layout>
              <c:showVal val="1"/>
            </c:dLbl>
            <c:dLbl>
              <c:idx val="4"/>
              <c:layout>
                <c:manualLayout>
                  <c:x val="7.0555032925682165E-3"/>
                  <c:y val="-5.2408788550695536E-2"/>
                </c:manualLayout>
              </c:layout>
              <c:showVal val="1"/>
            </c:dLbl>
            <c:dLbl>
              <c:idx val="5"/>
              <c:layout>
                <c:manualLayout>
                  <c:x val="7.0555032925682165E-3"/>
                  <c:y val="-5.6440233823826076E-2"/>
                </c:manualLayout>
              </c:layout>
              <c:showVal val="1"/>
            </c:dLbl>
            <c:dLbl>
              <c:idx val="6"/>
              <c:layout>
                <c:manualLayout>
                  <c:x val="4.7036688617121715E-3"/>
                  <c:y val="-7.2566014916347982E-2"/>
                </c:manualLayout>
              </c:layout>
              <c:showVal val="1"/>
            </c:dLbl>
            <c:dLbl>
              <c:idx val="7"/>
              <c:layout>
                <c:manualLayout>
                  <c:x val="7.0555032925682165E-3"/>
                  <c:y val="-8.8691796008869742E-2"/>
                </c:manualLayout>
              </c:layout>
              <c:showVal val="1"/>
            </c:dLbl>
            <c:dLbl>
              <c:idx val="8"/>
              <c:layout>
                <c:manualLayout>
                  <c:x val="2.3518344308560675E-3"/>
                  <c:y val="-0.12094399306718392"/>
                </c:manualLayout>
              </c:layout>
              <c:showVal val="1"/>
            </c:dLbl>
            <c:dLbl>
              <c:idx val="9"/>
              <c:layout>
                <c:manualLayout>
                  <c:x val="7.0553181087547705E-3"/>
                  <c:y val="-0.12900624874017341"/>
                </c:manualLayout>
              </c:layout>
              <c:showVal val="1"/>
            </c:dLbl>
            <c:dLbl>
              <c:idx val="10"/>
              <c:layout>
                <c:manualLayout>
                  <c:x val="7.0555032925682139E-3"/>
                  <c:y val="-0.15722636565208656"/>
                </c:manualLayout>
              </c:layout>
              <c:showVal val="1"/>
            </c:dLbl>
            <c:dLbl>
              <c:idx val="11"/>
              <c:layout>
                <c:manualLayout>
                  <c:x val="2.3518344308560675E-3"/>
                  <c:y val="-0.2217294900221736"/>
                </c:manualLayout>
              </c:layout>
              <c:showVal val="1"/>
            </c:dLbl>
            <c:dLbl>
              <c:idx val="12"/>
              <c:layout>
                <c:manualLayout>
                  <c:x val="4.7036688617122452E-3"/>
                  <c:y val="-0.26607538802660752"/>
                </c:manualLayout>
              </c:layout>
              <c:showVal val="1"/>
            </c:dLbl>
            <c:dLbl>
              <c:idx val="13"/>
              <c:layout>
                <c:manualLayout>
                  <c:x val="4.7036688617121628E-3"/>
                  <c:y val="-0.24188671638782538"/>
                </c:manualLayout>
              </c:layout>
              <c:showVal val="1"/>
            </c:dLbl>
            <c:dLbl>
              <c:idx val="14"/>
              <c:layout>
                <c:manualLayout>
                  <c:x val="0"/>
                  <c:y val="-0.31848417657730427"/>
                </c:manualLayout>
              </c:layout>
              <c:showVal val="1"/>
            </c:dLbl>
            <c:dLbl>
              <c:idx val="15"/>
              <c:layout>
                <c:manualLayout>
                  <c:x val="2.3518344308560675E-3"/>
                  <c:y val="-0.41120741785930282"/>
                </c:manualLayout>
              </c:layout>
              <c:showVal val="1"/>
            </c:dLbl>
            <c:txPr>
              <a:bodyPr anchor="t" anchorCtr="0"/>
              <a:lstStyle/>
              <a:p>
                <a:pPr>
                  <a:defRPr sz="900"/>
                </a:pPr>
                <a:endParaRPr lang="pt-BR"/>
              </a:p>
            </c:txPr>
            <c:showVal val="1"/>
          </c:dLbls>
          <c:cat>
            <c:numRef>
              <c:f>Plan1!$A$2:$A$17</c:f>
              <c:numCache>
                <c:formatCode>General</c:formatCode>
                <c:ptCount val="16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</c:numCache>
            </c:numRef>
          </c:cat>
          <c:val>
            <c:numRef>
              <c:f>Plan1!$B$2:$B$17</c:f>
              <c:numCache>
                <c:formatCode>General</c:formatCode>
                <c:ptCount val="16"/>
                <c:pt idx="0">
                  <c:v>7</c:v>
                </c:pt>
                <c:pt idx="1">
                  <c:v>17</c:v>
                </c:pt>
                <c:pt idx="2">
                  <c:v>14</c:v>
                </c:pt>
                <c:pt idx="3">
                  <c:v>36</c:v>
                </c:pt>
                <c:pt idx="4">
                  <c:v>55</c:v>
                </c:pt>
                <c:pt idx="5">
                  <c:v>63</c:v>
                </c:pt>
                <c:pt idx="6">
                  <c:v>90</c:v>
                </c:pt>
                <c:pt idx="7">
                  <c:v>121</c:v>
                </c:pt>
                <c:pt idx="8">
                  <c:v>209</c:v>
                </c:pt>
                <c:pt idx="9">
                  <c:v>235</c:v>
                </c:pt>
                <c:pt idx="10">
                  <c:v>282</c:v>
                </c:pt>
                <c:pt idx="11">
                  <c:v>412</c:v>
                </c:pt>
                <c:pt idx="12">
                  <c:v>540</c:v>
                </c:pt>
                <c:pt idx="13">
                  <c:v>474</c:v>
                </c:pt>
                <c:pt idx="14">
                  <c:v>645</c:v>
                </c:pt>
                <c:pt idx="15">
                  <c:v>845</c:v>
                </c:pt>
              </c:numCache>
            </c:numRef>
          </c:val>
        </c:ser>
        <c:shape val="box"/>
        <c:axId val="83518208"/>
        <c:axId val="83519744"/>
        <c:axId val="0"/>
      </c:bar3DChart>
      <c:catAx>
        <c:axId val="83518208"/>
        <c:scaling>
          <c:orientation val="minMax"/>
        </c:scaling>
        <c:axPos val="b"/>
        <c:numFmt formatCode="General" sourceLinked="1"/>
        <c:tickLblPos val="nextTo"/>
        <c:crossAx val="83519744"/>
        <c:crosses val="autoZero"/>
        <c:auto val="1"/>
        <c:lblAlgn val="ctr"/>
        <c:lblOffset val="100"/>
      </c:catAx>
      <c:valAx>
        <c:axId val="83519744"/>
        <c:scaling>
          <c:orientation val="minMax"/>
        </c:scaling>
        <c:axPos val="l"/>
        <c:majorGridlines/>
        <c:numFmt formatCode="General" sourceLinked="1"/>
        <c:tickLblPos val="nextTo"/>
        <c:crossAx val="835182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1024</Characters>
  <Application>Microsoft Office Word</Application>
  <DocSecurity>0</DocSecurity>
  <Lines>8</Lines>
  <Paragraphs>2</Paragraphs>
  <ScaleCrop>false</ScaleCrop>
  <Company>Secretaria de Estado de Saúde do DF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de souza</dc:creator>
  <cp:lastModifiedBy>Fepecs</cp:lastModifiedBy>
  <cp:revision>2</cp:revision>
  <dcterms:created xsi:type="dcterms:W3CDTF">2013-09-17T13:34:00Z</dcterms:created>
  <dcterms:modified xsi:type="dcterms:W3CDTF">2013-09-17T13:34:00Z</dcterms:modified>
</cp:coreProperties>
</file>